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7F" w:rsidRPr="0025026C" w:rsidRDefault="00A0197F" w:rsidP="002502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608C4" w:rsidRPr="008C0CFE" w:rsidRDefault="00B608C4" w:rsidP="00250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C492D" w:rsidRDefault="0051178D" w:rsidP="0025026C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51178D">
        <w:rPr>
          <w:rFonts w:ascii="Arial" w:hAnsi="Arial" w:cs="Arial"/>
          <w:b/>
          <w:bCs/>
          <w:szCs w:val="24"/>
          <w:u w:val="single"/>
        </w:rPr>
        <w:t>Program Outcome 1:</w:t>
      </w:r>
      <w:r w:rsidRPr="0051178D">
        <w:rPr>
          <w:rFonts w:ascii="Arial" w:hAnsi="Arial" w:cs="Arial"/>
          <w:bCs/>
          <w:szCs w:val="24"/>
        </w:rPr>
        <w:t xml:space="preserve"> NCLEX-RN pass rate will be at or above the national mean (average).</w:t>
      </w:r>
    </w:p>
    <w:p w:rsidR="00C526CE" w:rsidRPr="0051178D" w:rsidRDefault="00C526CE" w:rsidP="0025026C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(Data based on calendar year January to December.)</w:t>
      </w:r>
    </w:p>
    <w:p w:rsidR="0051178D" w:rsidRPr="0025026C" w:rsidRDefault="0051178D" w:rsidP="0025026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/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250"/>
        <w:gridCol w:w="3604"/>
      </w:tblGrid>
      <w:tr w:rsidR="0025026C" w:rsidRPr="0025026C" w:rsidTr="00EE4557">
        <w:trPr>
          <w:trHeight w:val="260"/>
          <w:jc w:val="center"/>
        </w:trPr>
        <w:tc>
          <w:tcPr>
            <w:tcW w:w="1304" w:type="pct"/>
            <w:shd w:val="clear" w:color="auto" w:fill="79A3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3F0" w:rsidRPr="00485B09" w:rsidRDefault="00EC33F0" w:rsidP="0051178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position w:val="1"/>
                <w:szCs w:val="20"/>
              </w:rPr>
            </w:pPr>
            <w:r w:rsidRPr="00485B09">
              <w:rPr>
                <w:rFonts w:ascii="Arial" w:eastAsia="Calibri" w:hAnsi="Arial" w:cs="Arial"/>
                <w:b/>
                <w:color w:val="FFFFFF" w:themeColor="background1"/>
                <w:position w:val="1"/>
                <w:szCs w:val="20"/>
              </w:rPr>
              <w:t>Year</w:t>
            </w:r>
          </w:p>
        </w:tc>
        <w:tc>
          <w:tcPr>
            <w:tcW w:w="1752" w:type="pct"/>
            <w:shd w:val="clear" w:color="auto" w:fill="79A3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3F0" w:rsidRPr="00485B09" w:rsidRDefault="00485B09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t xml:space="preserve">% </w:t>
            </w:r>
            <w:r w:rsidR="00EC33F0" w:rsidRPr="00485B09"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t>passing on 1</w:t>
            </w:r>
            <w:r w:rsidR="00EC33F0" w:rsidRPr="00485B09">
              <w:rPr>
                <w:rFonts w:ascii="Arial" w:eastAsia="Calibri" w:hAnsi="Arial" w:cs="Arial"/>
                <w:b/>
                <w:color w:val="FFFFFF" w:themeColor="background1"/>
                <w:szCs w:val="20"/>
                <w:vertAlign w:val="superscript"/>
              </w:rPr>
              <w:t>st</w:t>
            </w:r>
            <w:r w:rsidR="00EC33F0" w:rsidRPr="00485B09"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t xml:space="preserve"> attempt</w:t>
            </w:r>
          </w:p>
        </w:tc>
        <w:tc>
          <w:tcPr>
            <w:tcW w:w="1943" w:type="pct"/>
            <w:shd w:val="clear" w:color="auto" w:fill="79A3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3F0" w:rsidRPr="00485B09" w:rsidRDefault="0051178D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FFFF" w:themeColor="background1"/>
                <w:szCs w:val="20"/>
              </w:rPr>
            </w:pPr>
            <w:r w:rsidRPr="00485B09"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t>National Average</w:t>
            </w:r>
          </w:p>
        </w:tc>
      </w:tr>
      <w:tr w:rsidR="0025026C" w:rsidRPr="0025026C" w:rsidTr="00BC3010">
        <w:trPr>
          <w:trHeight w:val="257"/>
          <w:jc w:val="center"/>
        </w:trPr>
        <w:tc>
          <w:tcPr>
            <w:tcW w:w="13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3F0" w:rsidRPr="00485B09" w:rsidRDefault="00EC33F0" w:rsidP="0051178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485B09">
              <w:rPr>
                <w:rFonts w:ascii="Arial" w:eastAsia="Calibri" w:hAnsi="Arial" w:cs="Arial"/>
                <w:szCs w:val="20"/>
              </w:rPr>
              <w:t>2015</w:t>
            </w:r>
          </w:p>
        </w:tc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3F0" w:rsidRPr="00485B09" w:rsidRDefault="00EC33F0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485B09">
              <w:rPr>
                <w:rFonts w:ascii="Arial" w:eastAsia="Calibri" w:hAnsi="Arial" w:cs="Arial"/>
                <w:szCs w:val="20"/>
              </w:rPr>
              <w:t>88</w:t>
            </w:r>
            <w:r w:rsidR="00C526CE">
              <w:rPr>
                <w:rFonts w:ascii="Arial" w:eastAsia="Calibri" w:hAnsi="Arial" w:cs="Arial"/>
                <w:szCs w:val="20"/>
              </w:rPr>
              <w:t>.24</w:t>
            </w:r>
            <w:r w:rsidRPr="00485B09">
              <w:rPr>
                <w:rFonts w:ascii="Arial" w:eastAsia="Calibri" w:hAnsi="Arial" w:cs="Arial"/>
                <w:szCs w:val="20"/>
              </w:rPr>
              <w:t>%</w:t>
            </w:r>
          </w:p>
        </w:tc>
        <w:tc>
          <w:tcPr>
            <w:tcW w:w="1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3F0" w:rsidRPr="00485B09" w:rsidRDefault="0051178D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485B09">
              <w:rPr>
                <w:rFonts w:ascii="Arial" w:eastAsia="Calibri" w:hAnsi="Arial" w:cs="Arial"/>
                <w:szCs w:val="20"/>
              </w:rPr>
              <w:t>82.0</w:t>
            </w:r>
            <w:r w:rsidR="00C526CE">
              <w:rPr>
                <w:rFonts w:ascii="Arial" w:eastAsia="Calibri" w:hAnsi="Arial" w:cs="Arial"/>
                <w:szCs w:val="20"/>
              </w:rPr>
              <w:t>0</w:t>
            </w:r>
            <w:r w:rsidRPr="00485B09">
              <w:rPr>
                <w:rFonts w:ascii="Arial" w:eastAsia="Calibri" w:hAnsi="Arial" w:cs="Arial"/>
                <w:szCs w:val="20"/>
              </w:rPr>
              <w:t>%</w:t>
            </w:r>
          </w:p>
        </w:tc>
      </w:tr>
      <w:tr w:rsidR="0051178D" w:rsidRPr="0025026C" w:rsidTr="00BC3010">
        <w:trPr>
          <w:trHeight w:val="185"/>
          <w:jc w:val="center"/>
        </w:trPr>
        <w:tc>
          <w:tcPr>
            <w:tcW w:w="13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78D" w:rsidRPr="00485B09" w:rsidRDefault="0051178D" w:rsidP="0051178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485B09">
              <w:rPr>
                <w:rFonts w:ascii="Arial" w:eastAsia="Calibri" w:hAnsi="Arial" w:cs="Arial"/>
                <w:szCs w:val="20"/>
              </w:rPr>
              <w:t>2016</w:t>
            </w:r>
          </w:p>
        </w:tc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78D" w:rsidRPr="00485B09" w:rsidRDefault="00C526CE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80.95</w:t>
            </w:r>
            <w:r w:rsidR="0051178D" w:rsidRPr="00485B09">
              <w:rPr>
                <w:rFonts w:ascii="Arial" w:eastAsia="Calibri" w:hAnsi="Arial" w:cs="Arial"/>
                <w:szCs w:val="20"/>
              </w:rPr>
              <w:t>%</w:t>
            </w:r>
          </w:p>
        </w:tc>
        <w:tc>
          <w:tcPr>
            <w:tcW w:w="1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78D" w:rsidRPr="00485B09" w:rsidRDefault="0051178D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485B09">
              <w:rPr>
                <w:rFonts w:ascii="Arial" w:eastAsia="Calibri" w:hAnsi="Arial" w:cs="Arial"/>
                <w:szCs w:val="20"/>
              </w:rPr>
              <w:t>81.68%</w:t>
            </w:r>
          </w:p>
        </w:tc>
      </w:tr>
      <w:tr w:rsidR="00C526CE" w:rsidRPr="0025026C" w:rsidTr="00BC3010">
        <w:trPr>
          <w:trHeight w:val="185"/>
          <w:jc w:val="center"/>
        </w:trPr>
        <w:tc>
          <w:tcPr>
            <w:tcW w:w="13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6CE" w:rsidRPr="00485B09" w:rsidRDefault="00C526CE" w:rsidP="0051178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2017</w:t>
            </w:r>
          </w:p>
        </w:tc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6CE" w:rsidRPr="00485B09" w:rsidRDefault="00C526CE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85.00%</w:t>
            </w:r>
          </w:p>
        </w:tc>
        <w:tc>
          <w:tcPr>
            <w:tcW w:w="1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6CE" w:rsidRPr="00485B09" w:rsidRDefault="00C526CE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85.34%</w:t>
            </w:r>
          </w:p>
        </w:tc>
      </w:tr>
      <w:tr w:rsidR="0025026C" w:rsidRPr="0025026C" w:rsidTr="00BC3010">
        <w:trPr>
          <w:trHeight w:val="122"/>
          <w:jc w:val="center"/>
        </w:trPr>
        <w:tc>
          <w:tcPr>
            <w:tcW w:w="13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3F0" w:rsidRPr="00485B09" w:rsidRDefault="00EC33F0" w:rsidP="0051178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485B09">
              <w:rPr>
                <w:rFonts w:ascii="Arial" w:eastAsia="Calibri" w:hAnsi="Arial" w:cs="Arial"/>
                <w:b/>
                <w:szCs w:val="20"/>
              </w:rPr>
              <w:t>3-year average</w:t>
            </w:r>
          </w:p>
        </w:tc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3F0" w:rsidRPr="00485B09" w:rsidRDefault="00C526CE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84.33%</w:t>
            </w:r>
          </w:p>
        </w:tc>
        <w:tc>
          <w:tcPr>
            <w:tcW w:w="1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3F0" w:rsidRPr="00485B09" w:rsidRDefault="00C526CE" w:rsidP="0051178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83.00%</w:t>
            </w:r>
          </w:p>
        </w:tc>
      </w:tr>
    </w:tbl>
    <w:p w:rsidR="0025026C" w:rsidRDefault="0025026C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85B09" w:rsidRDefault="00485B09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85B09" w:rsidRDefault="00485B09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178D" w:rsidRDefault="0051178D" w:rsidP="00B608C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Program Outcome 2:</w:t>
      </w:r>
      <w:r>
        <w:rPr>
          <w:rFonts w:ascii="Arial" w:hAnsi="Arial" w:cs="Arial"/>
          <w:color w:val="auto"/>
          <w:sz w:val="22"/>
          <w:szCs w:val="22"/>
        </w:rPr>
        <w:t xml:space="preserve"> The ASN Program adopted not less than 60% over a 3-year average for the program </w:t>
      </w:r>
      <w:proofErr w:type="gramStart"/>
      <w:r>
        <w:rPr>
          <w:rFonts w:ascii="Arial" w:hAnsi="Arial" w:cs="Arial"/>
          <w:color w:val="auto"/>
          <w:sz w:val="22"/>
          <w:szCs w:val="22"/>
        </w:rPr>
        <w:t>completer’s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rate. Program completion is the number of students who are accepted into the nursing program and fulfill the College and Programmatic requirements.</w:t>
      </w:r>
      <w:r w:rsidR="00C526CE">
        <w:rPr>
          <w:rFonts w:ascii="Arial" w:hAnsi="Arial" w:cs="Arial"/>
          <w:color w:val="auto"/>
          <w:sz w:val="22"/>
          <w:szCs w:val="22"/>
        </w:rPr>
        <w:t xml:space="preserve"> (Data based on Academic Year August to July.)</w:t>
      </w:r>
    </w:p>
    <w:p w:rsidR="0051178D" w:rsidRDefault="0051178D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3010" w:rsidTr="00EE4557">
        <w:trPr>
          <w:trHeight w:val="170"/>
        </w:trPr>
        <w:tc>
          <w:tcPr>
            <w:tcW w:w="4675" w:type="dxa"/>
            <w:shd w:val="clear" w:color="auto" w:fill="79A340"/>
            <w:vAlign w:val="center"/>
          </w:tcPr>
          <w:p w:rsidR="00BC3010" w:rsidRPr="00485B09" w:rsidRDefault="00BC3010" w:rsidP="002A7856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85B0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675" w:type="dxa"/>
            <w:shd w:val="clear" w:color="auto" w:fill="79A340"/>
            <w:vAlign w:val="center"/>
          </w:tcPr>
          <w:p w:rsidR="00BC3010" w:rsidRPr="00485B09" w:rsidRDefault="00BC3010" w:rsidP="002A7856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85B0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% of Students</w:t>
            </w:r>
          </w:p>
        </w:tc>
      </w:tr>
      <w:tr w:rsidR="00BC3010" w:rsidTr="002A7856">
        <w:tc>
          <w:tcPr>
            <w:tcW w:w="4675" w:type="dxa"/>
            <w:vAlign w:val="center"/>
          </w:tcPr>
          <w:p w:rsidR="00BC3010" w:rsidRPr="00485B09" w:rsidRDefault="00C526CE" w:rsidP="002A78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AY2014</w:t>
            </w:r>
          </w:p>
        </w:tc>
        <w:tc>
          <w:tcPr>
            <w:tcW w:w="4675" w:type="dxa"/>
            <w:vAlign w:val="center"/>
          </w:tcPr>
          <w:p w:rsidR="00BC3010" w:rsidRPr="00485B09" w:rsidRDefault="00A3200D" w:rsidP="002A78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63.4</w:t>
            </w:r>
            <w:r w:rsidR="00C526C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BC3010" w:rsidTr="00300923"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BC3010" w:rsidRPr="00485B09" w:rsidRDefault="00C526CE" w:rsidP="002A78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AY</w:t>
            </w:r>
            <w:r w:rsidR="00BC3010" w:rsidRPr="00485B09">
              <w:rPr>
                <w:rFonts w:ascii="Arial" w:hAnsi="Arial" w:cs="Arial"/>
                <w:color w:val="auto"/>
                <w:sz w:val="22"/>
                <w:szCs w:val="22"/>
              </w:rPr>
              <w:t>2015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BC3010" w:rsidRPr="00485B09" w:rsidRDefault="00A3200D" w:rsidP="002A78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66.3</w:t>
            </w:r>
            <w:r w:rsidR="00C526C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BC3010" w:rsidTr="00C526CE">
        <w:tc>
          <w:tcPr>
            <w:tcW w:w="4675" w:type="dxa"/>
            <w:vAlign w:val="center"/>
          </w:tcPr>
          <w:p w:rsidR="00BC3010" w:rsidRPr="00485B09" w:rsidRDefault="00C526CE" w:rsidP="002A78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AY</w:t>
            </w:r>
            <w:r w:rsidR="00BC3010" w:rsidRPr="00485B09">
              <w:rPr>
                <w:rFonts w:ascii="Arial" w:hAnsi="Arial" w:cs="Arial"/>
                <w:color w:val="auto"/>
                <w:sz w:val="22"/>
                <w:szCs w:val="22"/>
              </w:rPr>
              <w:t>2016</w:t>
            </w:r>
          </w:p>
        </w:tc>
        <w:tc>
          <w:tcPr>
            <w:tcW w:w="4675" w:type="dxa"/>
            <w:vAlign w:val="center"/>
          </w:tcPr>
          <w:p w:rsidR="00BC3010" w:rsidRPr="00485B09" w:rsidRDefault="00A3200D" w:rsidP="002A78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58.7</w:t>
            </w:r>
            <w:r w:rsidR="00C526C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C526CE" w:rsidTr="00300923"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C526CE" w:rsidRPr="00C526CE" w:rsidRDefault="00C526CE" w:rsidP="002A785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526CE">
              <w:rPr>
                <w:rFonts w:ascii="Arial" w:hAnsi="Arial" w:cs="Arial"/>
                <w:b/>
                <w:color w:val="auto"/>
                <w:sz w:val="22"/>
                <w:szCs w:val="22"/>
              </w:rPr>
              <w:t>3-year average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C526CE" w:rsidRDefault="00A3200D" w:rsidP="002A78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60.8</w:t>
            </w:r>
            <w:r w:rsidR="00C526C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</w:tbl>
    <w:p w:rsidR="0051178D" w:rsidRDefault="0051178D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85B09" w:rsidRDefault="00485B09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85B09" w:rsidRDefault="00485B09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A7856" w:rsidRDefault="002A7856" w:rsidP="00B608C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Program Outcome 3:</w:t>
      </w:r>
      <w:r>
        <w:rPr>
          <w:rFonts w:ascii="Arial" w:hAnsi="Arial" w:cs="Arial"/>
          <w:color w:val="auto"/>
          <w:sz w:val="22"/>
          <w:szCs w:val="22"/>
        </w:rPr>
        <w:t xml:space="preserve"> Three year average job placement rate for ASN graduates – not less than 90% within 12 months of graduation is the benchmark </w:t>
      </w:r>
      <w:r w:rsidR="00485B09">
        <w:rPr>
          <w:rFonts w:ascii="Arial" w:hAnsi="Arial" w:cs="Arial"/>
          <w:color w:val="auto"/>
          <w:sz w:val="22"/>
          <w:szCs w:val="22"/>
        </w:rPr>
        <w:t>that the ASN faculty set for the program.</w:t>
      </w:r>
      <w:r w:rsidR="00A5100B" w:rsidRPr="00A5100B">
        <w:rPr>
          <w:rFonts w:ascii="Arial" w:hAnsi="Arial" w:cs="Arial"/>
          <w:color w:val="auto"/>
          <w:sz w:val="22"/>
          <w:szCs w:val="22"/>
        </w:rPr>
        <w:t xml:space="preserve"> </w:t>
      </w:r>
      <w:r w:rsidR="00A5100B">
        <w:rPr>
          <w:rFonts w:ascii="Arial" w:hAnsi="Arial" w:cs="Arial"/>
          <w:color w:val="auto"/>
          <w:sz w:val="22"/>
          <w:szCs w:val="22"/>
        </w:rPr>
        <w:t xml:space="preserve">(Data based on Academic Year August to July.) </w:t>
      </w:r>
    </w:p>
    <w:p w:rsidR="00485B09" w:rsidRDefault="00485B09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5B09" w:rsidTr="00485B09">
        <w:tc>
          <w:tcPr>
            <w:tcW w:w="4675" w:type="dxa"/>
            <w:shd w:val="clear" w:color="auto" w:fill="79A340"/>
            <w:vAlign w:val="center"/>
          </w:tcPr>
          <w:p w:rsidR="00485B09" w:rsidRPr="00485B09" w:rsidRDefault="00485B09" w:rsidP="00485B09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85B0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675" w:type="dxa"/>
            <w:shd w:val="clear" w:color="auto" w:fill="79A340"/>
            <w:vAlign w:val="center"/>
          </w:tcPr>
          <w:p w:rsidR="00485B09" w:rsidRPr="00485B09" w:rsidRDefault="00485B09" w:rsidP="00485B09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85B0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% Employed</w:t>
            </w:r>
          </w:p>
        </w:tc>
      </w:tr>
      <w:tr w:rsidR="00485B09" w:rsidTr="00485B09">
        <w:tc>
          <w:tcPr>
            <w:tcW w:w="4675" w:type="dxa"/>
            <w:vAlign w:val="center"/>
          </w:tcPr>
          <w:p w:rsidR="00485B09" w:rsidRPr="00485B09" w:rsidRDefault="00A5100B" w:rsidP="00485B0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AY</w:t>
            </w:r>
            <w:r w:rsidR="00485B09" w:rsidRPr="00485B09">
              <w:rPr>
                <w:rFonts w:ascii="Arial" w:hAnsi="Arial" w:cs="Arial"/>
                <w:color w:val="auto"/>
                <w:sz w:val="22"/>
                <w:szCs w:val="22"/>
              </w:rPr>
              <w:t>2014</w:t>
            </w:r>
          </w:p>
        </w:tc>
        <w:tc>
          <w:tcPr>
            <w:tcW w:w="4675" w:type="dxa"/>
            <w:vAlign w:val="center"/>
          </w:tcPr>
          <w:p w:rsidR="00485B09" w:rsidRPr="00485B09" w:rsidRDefault="00C526CE" w:rsidP="00485B0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100%</w:t>
            </w:r>
          </w:p>
        </w:tc>
      </w:tr>
      <w:tr w:rsidR="00485B09" w:rsidTr="00485B09">
        <w:tc>
          <w:tcPr>
            <w:tcW w:w="4675" w:type="dxa"/>
            <w:vAlign w:val="center"/>
          </w:tcPr>
          <w:p w:rsidR="00485B09" w:rsidRPr="00485B09" w:rsidRDefault="00A5100B" w:rsidP="00485B0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AY</w:t>
            </w:r>
            <w:r w:rsidR="00485B09" w:rsidRPr="00485B09">
              <w:rPr>
                <w:rFonts w:ascii="Arial" w:hAnsi="Arial" w:cs="Arial"/>
                <w:color w:val="auto"/>
                <w:sz w:val="22"/>
                <w:szCs w:val="22"/>
              </w:rPr>
              <w:t>2015</w:t>
            </w:r>
          </w:p>
        </w:tc>
        <w:tc>
          <w:tcPr>
            <w:tcW w:w="4675" w:type="dxa"/>
            <w:vAlign w:val="center"/>
          </w:tcPr>
          <w:p w:rsidR="00485B09" w:rsidRPr="00485B09" w:rsidRDefault="00C526CE" w:rsidP="00485B0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100%</w:t>
            </w:r>
          </w:p>
        </w:tc>
      </w:tr>
      <w:tr w:rsidR="00485B09" w:rsidTr="00485B09">
        <w:tc>
          <w:tcPr>
            <w:tcW w:w="4675" w:type="dxa"/>
            <w:vAlign w:val="center"/>
          </w:tcPr>
          <w:p w:rsidR="00485B09" w:rsidRPr="00485B09" w:rsidRDefault="00A5100B" w:rsidP="00485B0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AY</w:t>
            </w:r>
            <w:r w:rsidR="00485B09" w:rsidRPr="00485B09">
              <w:rPr>
                <w:rFonts w:ascii="Arial" w:hAnsi="Arial" w:cs="Arial"/>
                <w:color w:val="auto"/>
                <w:sz w:val="22"/>
                <w:szCs w:val="22"/>
              </w:rPr>
              <w:t>2016</w:t>
            </w:r>
          </w:p>
        </w:tc>
        <w:tc>
          <w:tcPr>
            <w:tcW w:w="4675" w:type="dxa"/>
            <w:vAlign w:val="center"/>
          </w:tcPr>
          <w:p w:rsidR="00485B09" w:rsidRPr="00485B09" w:rsidRDefault="00DE28C6" w:rsidP="00485B0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100B">
              <w:rPr>
                <w:rFonts w:ascii="Arial" w:hAnsi="Arial" w:cs="Arial"/>
                <w:color w:val="auto"/>
                <w:sz w:val="22"/>
                <w:szCs w:val="22"/>
              </w:rPr>
              <w:t>100%</w:t>
            </w:r>
          </w:p>
        </w:tc>
      </w:tr>
      <w:tr w:rsidR="00956779" w:rsidTr="00485B09">
        <w:tc>
          <w:tcPr>
            <w:tcW w:w="4675" w:type="dxa"/>
            <w:vAlign w:val="center"/>
          </w:tcPr>
          <w:p w:rsidR="00956779" w:rsidRPr="00956779" w:rsidRDefault="00956779" w:rsidP="00485B0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56779">
              <w:rPr>
                <w:rFonts w:ascii="Arial" w:hAnsi="Arial" w:cs="Arial"/>
                <w:b/>
                <w:color w:val="auto"/>
                <w:sz w:val="22"/>
                <w:szCs w:val="22"/>
              </w:rPr>
              <w:t>3-year average</w:t>
            </w:r>
          </w:p>
        </w:tc>
        <w:tc>
          <w:tcPr>
            <w:tcW w:w="4675" w:type="dxa"/>
            <w:vAlign w:val="center"/>
          </w:tcPr>
          <w:p w:rsidR="00956779" w:rsidRPr="00A5100B" w:rsidRDefault="00956779" w:rsidP="00485B0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100%</w:t>
            </w:r>
          </w:p>
        </w:tc>
      </w:tr>
    </w:tbl>
    <w:p w:rsidR="00485B09" w:rsidRPr="002A7856" w:rsidRDefault="00485B09" w:rsidP="0025026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5026C" w:rsidRDefault="0025026C">
      <w:pPr>
        <w:rPr>
          <w:rFonts w:ascii="Arial" w:hAnsi="Arial" w:cs="Arial"/>
        </w:rPr>
      </w:pPr>
    </w:p>
    <w:sectPr w:rsidR="0025026C" w:rsidSect="00D767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90" w:rsidRDefault="00CB0B90" w:rsidP="00522F22">
      <w:pPr>
        <w:spacing w:after="0" w:line="240" w:lineRule="auto"/>
      </w:pPr>
      <w:r>
        <w:separator/>
      </w:r>
    </w:p>
  </w:endnote>
  <w:endnote w:type="continuationSeparator" w:id="0">
    <w:p w:rsidR="00CB0B90" w:rsidRDefault="00CB0B90" w:rsidP="0052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09" w:rsidRDefault="00A5100B">
    <w:pPr>
      <w:pStyle w:val="Footer"/>
    </w:pPr>
    <w:r>
      <w:t>Updated: May 11</w:t>
    </w:r>
    <w:r w:rsidR="00485B09"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90" w:rsidRDefault="00CB0B90" w:rsidP="00522F22">
      <w:pPr>
        <w:spacing w:after="0" w:line="240" w:lineRule="auto"/>
      </w:pPr>
      <w:r>
        <w:separator/>
      </w:r>
    </w:p>
  </w:footnote>
  <w:footnote w:type="continuationSeparator" w:id="0">
    <w:p w:rsidR="00CB0B90" w:rsidRDefault="00CB0B90" w:rsidP="0052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6C" w:rsidRDefault="002B7F6C" w:rsidP="0025026C">
    <w:pPr>
      <w:pStyle w:val="Header"/>
      <w:jc w:val="center"/>
    </w:pPr>
    <w:r w:rsidRPr="0025026C">
      <w:rPr>
        <w:rFonts w:ascii="Arial" w:hAnsi="Arial" w:cs="Arial"/>
        <w:noProof/>
        <w:sz w:val="16"/>
        <w:szCs w:val="16"/>
      </w:rPr>
      <w:drawing>
        <wp:inline distT="0" distB="0" distL="0" distR="0" wp14:anchorId="5F3348F9" wp14:editId="4D83743D">
          <wp:extent cx="5035550" cy="112669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6068" cy="112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F6C" w:rsidRDefault="002B7F6C" w:rsidP="0025026C">
    <w:pPr>
      <w:pStyle w:val="Header"/>
      <w:jc w:val="center"/>
    </w:pPr>
  </w:p>
  <w:p w:rsidR="002B7F6C" w:rsidRPr="0025026C" w:rsidRDefault="002B7F6C" w:rsidP="0025026C">
    <w:pPr>
      <w:spacing w:after="0" w:line="240" w:lineRule="auto"/>
      <w:jc w:val="center"/>
      <w:rPr>
        <w:rFonts w:ascii="Arial" w:hAnsi="Arial" w:cs="Arial"/>
        <w:b/>
        <w:sz w:val="28"/>
        <w:szCs w:val="24"/>
      </w:rPr>
    </w:pPr>
    <w:r w:rsidRPr="0025026C">
      <w:rPr>
        <w:rFonts w:ascii="Arial" w:hAnsi="Arial" w:cs="Arial"/>
        <w:b/>
        <w:sz w:val="28"/>
        <w:szCs w:val="24"/>
      </w:rPr>
      <w:t>Associate of Science in Nursing Program</w:t>
    </w:r>
  </w:p>
  <w:p w:rsidR="002B7F6C" w:rsidRDefault="002B7F6C" w:rsidP="0025026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5026C">
      <w:rPr>
        <w:rFonts w:ascii="Arial" w:hAnsi="Arial" w:cs="Arial"/>
        <w:b/>
        <w:sz w:val="24"/>
        <w:szCs w:val="24"/>
      </w:rPr>
      <w:t>(Thomasville</w:t>
    </w:r>
    <w:r>
      <w:rPr>
        <w:rFonts w:ascii="Arial" w:hAnsi="Arial" w:cs="Arial"/>
        <w:b/>
        <w:sz w:val="24"/>
        <w:szCs w:val="24"/>
      </w:rPr>
      <w:t>, Tifton, and Moultrie Loc</w:t>
    </w:r>
    <w:r w:rsidR="00F2772A">
      <w:rPr>
        <w:rFonts w:ascii="Arial" w:hAnsi="Arial" w:cs="Arial"/>
        <w:b/>
        <w:sz w:val="24"/>
        <w:szCs w:val="24"/>
      </w:rPr>
      <w:t>ations</w:t>
    </w:r>
    <w:r w:rsidRPr="0025026C">
      <w:rPr>
        <w:rFonts w:ascii="Arial" w:hAnsi="Arial" w:cs="Arial"/>
        <w:b/>
        <w:sz w:val="24"/>
        <w:szCs w:val="24"/>
      </w:rPr>
      <w:t>)</w:t>
    </w:r>
  </w:p>
  <w:p w:rsidR="002B7F6C" w:rsidRPr="0025026C" w:rsidRDefault="002B7F6C" w:rsidP="0025026C">
    <w:pPr>
      <w:spacing w:after="0" w:line="240" w:lineRule="auto"/>
      <w:jc w:val="center"/>
      <w:rPr>
        <w:rFonts w:ascii="Arial" w:hAnsi="Arial" w:cs="Arial"/>
        <w:b/>
        <w:bCs/>
        <w:sz w:val="12"/>
        <w:szCs w:val="12"/>
      </w:rPr>
    </w:pPr>
  </w:p>
  <w:p w:rsidR="002B7F6C" w:rsidRPr="0025026C" w:rsidRDefault="002B7F6C" w:rsidP="0025026C">
    <w:pPr>
      <w:pBdr>
        <w:top w:val="single" w:sz="8" w:space="1" w:color="auto"/>
      </w:pBdr>
      <w:spacing w:after="0" w:line="240" w:lineRule="auto"/>
      <w:jc w:val="center"/>
      <w:rPr>
        <w:rFonts w:ascii="Arial" w:hAnsi="Arial" w:cs="Arial"/>
        <w:b/>
        <w:bCs/>
        <w:sz w:val="2"/>
        <w:szCs w:val="2"/>
      </w:rPr>
    </w:pPr>
  </w:p>
  <w:p w:rsidR="002B7F6C" w:rsidRPr="0025026C" w:rsidRDefault="002B7F6C" w:rsidP="0025026C">
    <w:pPr>
      <w:shd w:val="clear" w:color="auto" w:fill="79A340"/>
      <w:spacing w:after="0" w:line="240" w:lineRule="auto"/>
      <w:jc w:val="center"/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>SRTC ASN Program Outcomes (POs) and Success Measures</w:t>
    </w:r>
  </w:p>
  <w:p w:rsidR="002B7F6C" w:rsidRPr="0025026C" w:rsidRDefault="002B7F6C" w:rsidP="0025026C">
    <w:pPr>
      <w:pStyle w:val="Header"/>
      <w:pBdr>
        <w:bottom w:val="single" w:sz="8" w:space="1" w:color="auto"/>
      </w:pBd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7157"/>
    <w:multiLevelType w:val="hybridMultilevel"/>
    <w:tmpl w:val="D2D0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02D81"/>
    <w:multiLevelType w:val="hybridMultilevel"/>
    <w:tmpl w:val="CC9E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4947"/>
    <w:multiLevelType w:val="hybridMultilevel"/>
    <w:tmpl w:val="C354F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00048"/>
    <w:multiLevelType w:val="hybridMultilevel"/>
    <w:tmpl w:val="E076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2A65"/>
    <w:multiLevelType w:val="hybridMultilevel"/>
    <w:tmpl w:val="1C1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210E"/>
    <w:multiLevelType w:val="hybridMultilevel"/>
    <w:tmpl w:val="A554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73E95"/>
    <w:multiLevelType w:val="hybridMultilevel"/>
    <w:tmpl w:val="5636BEE2"/>
    <w:lvl w:ilvl="0" w:tplc="5B2AC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1A54"/>
    <w:multiLevelType w:val="hybridMultilevel"/>
    <w:tmpl w:val="3BE2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0694"/>
    <w:multiLevelType w:val="hybridMultilevel"/>
    <w:tmpl w:val="1E5C0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54F29"/>
    <w:multiLevelType w:val="hybridMultilevel"/>
    <w:tmpl w:val="336657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0"/>
    <w:rsid w:val="00005FBA"/>
    <w:rsid w:val="000469BD"/>
    <w:rsid w:val="0008053A"/>
    <w:rsid w:val="000F1682"/>
    <w:rsid w:val="00107E05"/>
    <w:rsid w:val="00114088"/>
    <w:rsid w:val="00157C0C"/>
    <w:rsid w:val="001B0673"/>
    <w:rsid w:val="001D2577"/>
    <w:rsid w:val="001D3375"/>
    <w:rsid w:val="001E06E8"/>
    <w:rsid w:val="0025026C"/>
    <w:rsid w:val="00264691"/>
    <w:rsid w:val="00270550"/>
    <w:rsid w:val="002A410B"/>
    <w:rsid w:val="002A7856"/>
    <w:rsid w:val="002B602C"/>
    <w:rsid w:val="002B7F6C"/>
    <w:rsid w:val="002C6349"/>
    <w:rsid w:val="002D0A5F"/>
    <w:rsid w:val="002E01F7"/>
    <w:rsid w:val="00300923"/>
    <w:rsid w:val="00384858"/>
    <w:rsid w:val="003B32BA"/>
    <w:rsid w:val="003C5E06"/>
    <w:rsid w:val="003F5F1C"/>
    <w:rsid w:val="0046162D"/>
    <w:rsid w:val="00485B09"/>
    <w:rsid w:val="00485E12"/>
    <w:rsid w:val="004B38DB"/>
    <w:rsid w:val="004D238B"/>
    <w:rsid w:val="0051178D"/>
    <w:rsid w:val="00520AFD"/>
    <w:rsid w:val="00522F22"/>
    <w:rsid w:val="005245B0"/>
    <w:rsid w:val="0053052A"/>
    <w:rsid w:val="005C20D0"/>
    <w:rsid w:val="005C492D"/>
    <w:rsid w:val="00611529"/>
    <w:rsid w:val="006169BF"/>
    <w:rsid w:val="00645F50"/>
    <w:rsid w:val="00654803"/>
    <w:rsid w:val="00680EED"/>
    <w:rsid w:val="006B2BE8"/>
    <w:rsid w:val="006D2532"/>
    <w:rsid w:val="007128A8"/>
    <w:rsid w:val="0072389C"/>
    <w:rsid w:val="007B7845"/>
    <w:rsid w:val="007C76F0"/>
    <w:rsid w:val="0087126F"/>
    <w:rsid w:val="00895724"/>
    <w:rsid w:val="00895CB3"/>
    <w:rsid w:val="008C0CFE"/>
    <w:rsid w:val="008F702F"/>
    <w:rsid w:val="00956779"/>
    <w:rsid w:val="009832FA"/>
    <w:rsid w:val="009A0138"/>
    <w:rsid w:val="009A456B"/>
    <w:rsid w:val="009C60D8"/>
    <w:rsid w:val="009D4C47"/>
    <w:rsid w:val="00A01658"/>
    <w:rsid w:val="00A0197F"/>
    <w:rsid w:val="00A3200D"/>
    <w:rsid w:val="00A50A59"/>
    <w:rsid w:val="00A5100B"/>
    <w:rsid w:val="00A6387F"/>
    <w:rsid w:val="00A74580"/>
    <w:rsid w:val="00AD4EC1"/>
    <w:rsid w:val="00AD5793"/>
    <w:rsid w:val="00AE7DF2"/>
    <w:rsid w:val="00B55F33"/>
    <w:rsid w:val="00B608C4"/>
    <w:rsid w:val="00B70767"/>
    <w:rsid w:val="00B7547C"/>
    <w:rsid w:val="00B80CB5"/>
    <w:rsid w:val="00B93AFA"/>
    <w:rsid w:val="00BC3010"/>
    <w:rsid w:val="00C526CE"/>
    <w:rsid w:val="00C55BC0"/>
    <w:rsid w:val="00C62864"/>
    <w:rsid w:val="00CB0B90"/>
    <w:rsid w:val="00CD6429"/>
    <w:rsid w:val="00CD6661"/>
    <w:rsid w:val="00D041E2"/>
    <w:rsid w:val="00D05067"/>
    <w:rsid w:val="00D103D1"/>
    <w:rsid w:val="00D17B78"/>
    <w:rsid w:val="00D208A9"/>
    <w:rsid w:val="00D223E6"/>
    <w:rsid w:val="00D41E66"/>
    <w:rsid w:val="00D45D26"/>
    <w:rsid w:val="00D61D56"/>
    <w:rsid w:val="00D670B7"/>
    <w:rsid w:val="00D767DF"/>
    <w:rsid w:val="00DE28C6"/>
    <w:rsid w:val="00E12E1A"/>
    <w:rsid w:val="00E30C83"/>
    <w:rsid w:val="00E478E1"/>
    <w:rsid w:val="00E74D1B"/>
    <w:rsid w:val="00E83E8F"/>
    <w:rsid w:val="00EC33F0"/>
    <w:rsid w:val="00EE4557"/>
    <w:rsid w:val="00EF7922"/>
    <w:rsid w:val="00F2772A"/>
    <w:rsid w:val="00F630A5"/>
    <w:rsid w:val="00F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F3388E-0E88-4F7C-9398-EBC9DDBF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CF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2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80CB5"/>
    <w:pPr>
      <w:spacing w:after="0" w:line="240" w:lineRule="auto"/>
      <w:jc w:val="center"/>
    </w:pPr>
    <w:rPr>
      <w:rFonts w:ascii="Arial" w:eastAsia="Times New Roman" w:hAnsi="Arial" w:cs="Times New Roman"/>
      <w:sz w:val="52"/>
      <w:szCs w:val="24"/>
    </w:rPr>
  </w:style>
  <w:style w:type="character" w:customStyle="1" w:styleId="BodyTextChar">
    <w:name w:val="Body Text Char"/>
    <w:basedOn w:val="DefaultParagraphFont"/>
    <w:link w:val="BodyText"/>
    <w:rsid w:val="00B80CB5"/>
    <w:rPr>
      <w:rFonts w:ascii="Arial" w:eastAsia="Times New Roman" w:hAnsi="Arial" w:cs="Times New Roman"/>
      <w:sz w:val="52"/>
      <w:szCs w:val="24"/>
    </w:rPr>
  </w:style>
  <w:style w:type="character" w:styleId="Hyperlink">
    <w:name w:val="Hyperlink"/>
    <w:basedOn w:val="DefaultParagraphFont"/>
    <w:uiPriority w:val="99"/>
    <w:unhideWhenUsed/>
    <w:rsid w:val="0065480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22F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F22"/>
  </w:style>
  <w:style w:type="paragraph" w:styleId="Header">
    <w:name w:val="header"/>
    <w:basedOn w:val="Normal"/>
    <w:link w:val="HeaderChar"/>
    <w:uiPriority w:val="99"/>
    <w:unhideWhenUsed/>
    <w:rsid w:val="0052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22"/>
  </w:style>
  <w:style w:type="paragraph" w:styleId="Footer">
    <w:name w:val="footer"/>
    <w:basedOn w:val="Normal"/>
    <w:link w:val="FooterChar"/>
    <w:uiPriority w:val="99"/>
    <w:unhideWhenUsed/>
    <w:rsid w:val="0052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22"/>
  </w:style>
  <w:style w:type="paragraph" w:styleId="ListParagraph">
    <w:name w:val="List Paragraph"/>
    <w:basedOn w:val="Normal"/>
    <w:uiPriority w:val="34"/>
    <w:qFormat/>
    <w:rsid w:val="00AE7DF2"/>
    <w:pPr>
      <w:ind w:left="720"/>
      <w:contextualSpacing/>
    </w:pPr>
  </w:style>
  <w:style w:type="paragraph" w:styleId="NoSpacing">
    <w:name w:val="No Spacing"/>
    <w:uiPriority w:val="1"/>
    <w:qFormat/>
    <w:rsid w:val="008C0CF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C0CFE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0C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C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SWGTC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Tammy</dc:creator>
  <cp:lastModifiedBy>Wilson, Kristina</cp:lastModifiedBy>
  <cp:revision>2</cp:revision>
  <cp:lastPrinted>2017-05-16T14:57:00Z</cp:lastPrinted>
  <dcterms:created xsi:type="dcterms:W3CDTF">2017-05-17T12:39:00Z</dcterms:created>
  <dcterms:modified xsi:type="dcterms:W3CDTF">2017-05-17T12:39:00Z</dcterms:modified>
</cp:coreProperties>
</file>